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EBA63" w14:textId="7E878D6A" w:rsidR="00394A6D" w:rsidRPr="003275A4" w:rsidRDefault="007241CF" w:rsidP="007241CF">
      <w:pPr>
        <w:pStyle w:val="Title"/>
        <w:jc w:val="center"/>
        <w:rPr>
          <w:rFonts w:ascii="Times New Roman" w:hAnsi="Times New Roman" w:cs="Times New Roman"/>
          <w:color w:val="auto"/>
          <w:sz w:val="22"/>
        </w:rPr>
      </w:pPr>
      <w:r w:rsidRPr="003275A4">
        <w:rPr>
          <w:rFonts w:ascii="Times New Roman" w:hAnsi="Times New Roman" w:cs="Times New Roman"/>
          <w:noProof/>
          <w:color w:val="auto"/>
          <w:sz w:val="22"/>
          <w:lang w:eastAsia="en-US"/>
        </w:rPr>
        <w:drawing>
          <wp:inline distT="0" distB="0" distL="0" distR="0" wp14:anchorId="04629AA9" wp14:editId="3C2ECED1">
            <wp:extent cx="1572895" cy="11887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91C16" w14:textId="7CED90C1" w:rsidR="00BF6550" w:rsidRPr="003275A4" w:rsidRDefault="006D156F" w:rsidP="00BF6550">
      <w:pPr>
        <w:pStyle w:val="Title"/>
        <w:jc w:val="center"/>
        <w:rPr>
          <w:color w:val="auto"/>
        </w:rPr>
      </w:pPr>
      <w:r w:rsidRPr="003275A4">
        <w:rPr>
          <w:color w:val="auto"/>
        </w:rPr>
        <w:t>Vanessa N. Ozanne</w:t>
      </w:r>
    </w:p>
    <w:p w14:paraId="5DC1105A" w14:textId="3F70EDA7" w:rsidR="00394A6D" w:rsidRPr="003275A4" w:rsidRDefault="006D156F" w:rsidP="00BF6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auto"/>
        </w:rPr>
      </w:pPr>
      <w:r w:rsidRPr="003275A4">
        <w:rPr>
          <w:rFonts w:ascii="Times New Roman" w:hAnsi="Times New Roman" w:cs="Times New Roman"/>
          <w:color w:val="auto"/>
        </w:rPr>
        <w:t>2929 E. Camelback Rd., Suite 139, Phoenix, AZ, 85016 | T: (602) 212-2668 | </w:t>
      </w:r>
      <w:hyperlink r:id="rId8" w:history="1">
        <w:r w:rsidRPr="003275A4">
          <w:rPr>
            <w:rStyle w:val="Hyperlink"/>
            <w:rFonts w:ascii="Times New Roman" w:hAnsi="Times New Roman" w:cs="Times New Roman"/>
            <w:color w:val="auto"/>
            <w:u w:val="none"/>
          </w:rPr>
          <w:t>booking@theyoungagency.com</w:t>
        </w:r>
      </w:hyperlink>
    </w:p>
    <w:p w14:paraId="3423C0D1" w14:textId="77777777" w:rsidR="00396375" w:rsidRDefault="00396375" w:rsidP="00BF6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C62F662" w14:textId="00CF84BC" w:rsidR="00771F6A" w:rsidRPr="003275A4" w:rsidRDefault="006D156F" w:rsidP="00BF6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b/>
          <w:bCs/>
          <w:color w:val="auto"/>
          <w:sz w:val="24"/>
          <w:szCs w:val="24"/>
        </w:rPr>
        <w:t>Commercial Weblink</w:t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>: https://www.theyoungagency.com/vanessa-o</w:t>
      </w:r>
    </w:p>
    <w:p w14:paraId="52E640AF" w14:textId="5F5E1FF4" w:rsidR="00BF6550" w:rsidRPr="003275A4" w:rsidRDefault="006D156F" w:rsidP="00BF6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b/>
          <w:bCs/>
          <w:color w:val="auto"/>
          <w:sz w:val="24"/>
          <w:szCs w:val="24"/>
        </w:rPr>
        <w:t>Fitness Weblink</w:t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>: https://www.theyoungagency.com/fitness-vanessa</w:t>
      </w:r>
    </w:p>
    <w:p w14:paraId="2A87775C" w14:textId="2CBB65A6" w:rsidR="00771F6A" w:rsidRPr="003275A4" w:rsidRDefault="006D156F" w:rsidP="003275A4">
      <w:pPr>
        <w:pStyle w:val="Headi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 xml:space="preserve">Height: 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5’4”</w:t>
      </w:r>
    </w:p>
    <w:p w14:paraId="1FE09CF2" w14:textId="428827EB" w:rsidR="005E376D" w:rsidRPr="003275A4" w:rsidRDefault="006D156F" w:rsidP="003275A4">
      <w:pPr>
        <w:pStyle w:val="Headi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 xml:space="preserve">Weight: 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115lbs</w:t>
      </w:r>
    </w:p>
    <w:p w14:paraId="4821DC81" w14:textId="01555C1B" w:rsidR="005E376D" w:rsidRPr="003275A4" w:rsidRDefault="006D156F" w:rsidP="003275A4">
      <w:pPr>
        <w:pStyle w:val="Headi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>Body Type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: Petite/Athletic</w:t>
      </w:r>
    </w:p>
    <w:p w14:paraId="66F0B9B9" w14:textId="1BE917FE" w:rsidR="00771F6A" w:rsidRPr="003275A4" w:rsidRDefault="006D156F" w:rsidP="003275A4">
      <w:pPr>
        <w:pStyle w:val="Headi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 xml:space="preserve">Hair: 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Brown/Blonde</w:t>
      </w:r>
    </w:p>
    <w:p w14:paraId="3214EC6A" w14:textId="7DAD8039" w:rsidR="00771F6A" w:rsidRPr="003275A4" w:rsidRDefault="006D156F" w:rsidP="003275A4">
      <w:pPr>
        <w:pStyle w:val="Headi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 xml:space="preserve">Eyes: 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Brown</w:t>
      </w:r>
    </w:p>
    <w:p w14:paraId="0BB8D6D8" w14:textId="25E44824" w:rsidR="005E376D" w:rsidRPr="003275A4" w:rsidRDefault="006D156F" w:rsidP="003275A4">
      <w:pPr>
        <w:pStyle w:val="Heading1"/>
        <w:spacing w:after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 xml:space="preserve">Age Range: 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16 – 30 Years</w:t>
      </w:r>
    </w:p>
    <w:p w14:paraId="4435B980" w14:textId="5B96BD99" w:rsidR="005E376D" w:rsidRPr="003275A4" w:rsidRDefault="006D156F" w:rsidP="003275A4">
      <w:pPr>
        <w:pStyle w:val="Headi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 xml:space="preserve">Role Types: 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African American, Hispanic, </w:t>
      </w:r>
      <w:bookmarkStart w:id="0" w:name="_GoBack"/>
      <w:bookmarkEnd w:id="0"/>
      <w:r w:rsidR="00B97E62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and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Biracial</w:t>
      </w:r>
    </w:p>
    <w:p w14:paraId="339A4482" w14:textId="62E566D7" w:rsidR="007241CF" w:rsidRPr="003275A4" w:rsidRDefault="006D156F" w:rsidP="003275A4">
      <w:pPr>
        <w:pStyle w:val="Headi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 xml:space="preserve">Location: 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Phoenix, AZ and Los Angeles, CA</w:t>
      </w:r>
    </w:p>
    <w:p w14:paraId="49FCB60B" w14:textId="0E19ABA2" w:rsidR="007241CF" w:rsidRPr="003275A4" w:rsidRDefault="006D156F" w:rsidP="003275A4">
      <w:pPr>
        <w:pStyle w:val="Headi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 xml:space="preserve">Website: </w:t>
      </w:r>
      <w:hyperlink r:id="rId9" w:history="1">
        <w:r w:rsidRPr="003275A4">
          <w:rPr>
            <w:rStyle w:val="Hyperlink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https://www.facebook.com/vanessa.ozanne/</w:t>
        </w:r>
      </w:hyperlink>
    </w:p>
    <w:p w14:paraId="4DFD6F52" w14:textId="77777777" w:rsidR="007241CF" w:rsidRPr="003275A4" w:rsidRDefault="007241CF" w:rsidP="003275A4">
      <w:pPr>
        <w:pStyle w:val="Heading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29D22DD" w14:textId="26FB1823" w:rsidR="00394A6D" w:rsidRPr="003275A4" w:rsidRDefault="006D156F" w:rsidP="003275A4">
      <w:pPr>
        <w:pStyle w:val="Heading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>Fashion Show</w:t>
      </w:r>
    </w:p>
    <w:p w14:paraId="714F4DC7" w14:textId="47A0D9C7" w:rsidR="00394A6D" w:rsidRPr="003275A4" w:rsidRDefault="006D156F" w:rsidP="003275A4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>On Central Fashion Show</w:t>
      </w:r>
      <w:r w:rsidR="0039637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96375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March 2022</w:t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  <w:t>Runway Mode</w:t>
      </w:r>
      <w:r w:rsidR="003275A4" w:rsidRPr="003275A4">
        <w:rPr>
          <w:rFonts w:ascii="Times New Roman" w:hAnsi="Times New Roman" w:cs="Times New Roman"/>
          <w:color w:val="auto"/>
          <w:sz w:val="24"/>
          <w:szCs w:val="24"/>
        </w:rPr>
        <w:t>l</w:t>
      </w:r>
    </w:p>
    <w:p w14:paraId="3064DF0E" w14:textId="77777777" w:rsidR="003275A4" w:rsidRPr="003275A4" w:rsidRDefault="003275A4" w:rsidP="003275A4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0A67AECD" w14:textId="1BDCECE1" w:rsidR="00394A6D" w:rsidRPr="003275A4" w:rsidRDefault="006D156F" w:rsidP="003275A4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>Commercial/Print-Work</w:t>
      </w:r>
    </w:p>
    <w:p w14:paraId="435E2558" w14:textId="261EC420" w:rsidR="008E3043" w:rsidRPr="003275A4" w:rsidRDefault="006D156F" w:rsidP="003275A4">
      <w:pPr>
        <w:pStyle w:val="Heading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Shoot United</w:t>
      </w:r>
      <w:r w:rsidR="003275A4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, </w:t>
      </w:r>
      <w:r w:rsidRPr="00396375"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  <w:u w:val="single"/>
        </w:rPr>
        <w:t>January 2022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275A4" w:rsidRPr="003275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Shooter</w:t>
      </w:r>
    </w:p>
    <w:p w14:paraId="763C27FF" w14:textId="77777777" w:rsidR="00665315" w:rsidRPr="003275A4" w:rsidRDefault="00665315" w:rsidP="003275A4">
      <w:pPr>
        <w:pStyle w:val="Heading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92ADC68" w14:textId="46F8A9A4" w:rsidR="00394A6D" w:rsidRPr="003275A4" w:rsidRDefault="006D156F" w:rsidP="003275A4">
      <w:pPr>
        <w:pStyle w:val="Heading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olor w:val="auto"/>
          <w:sz w:val="24"/>
          <w:szCs w:val="24"/>
        </w:rPr>
        <w:t>Skills</w:t>
      </w:r>
    </w:p>
    <w:p w14:paraId="058EB0FE" w14:textId="1F19987D" w:rsidR="008E3043" w:rsidRPr="003275A4" w:rsidRDefault="00396375" w:rsidP="003275A4">
      <w:pPr>
        <w:pStyle w:val="Heading1"/>
        <w:spacing w:after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Advocate, Air Force </w:t>
      </w:r>
      <w:r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Military Training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, </w:t>
      </w:r>
      <w:r w:rsidR="006D156F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Avionics Technologies,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Bicycle Riding, </w:t>
      </w:r>
      <w:r w:rsidR="006D156F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Cooki</w:t>
      </w:r>
      <w:r w:rsidR="007F52C4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ng,</w:t>
      </w:r>
      <w:r w:rsidR="006D156F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Ice Skating, </w:t>
      </w:r>
      <w:r w:rsidR="006D156F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Lip Singing, Meditation, Poetry</w:t>
      </w:r>
      <w:r w:rsidR="007F52C4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,</w:t>
      </w:r>
      <w:r w:rsidR="006D156F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Public Speaking,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Roller Skating, </w:t>
      </w:r>
      <w:r w:rsidR="006D156F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Running, Singing,</w:t>
      </w:r>
      <w:r w:rsidR="007F52C4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Soccer, </w:t>
      </w:r>
      <w:r w:rsidR="006D156F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Swimming,</w:t>
      </w:r>
      <w:r w:rsidR="007F52C4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B97E62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Paddle boarding</w:t>
      </w:r>
      <w:r w:rsidR="006D156F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, </w:t>
      </w:r>
      <w:r w:rsidR="007F52C4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Weapons Training (Pistol, Rifle, And Shotgun),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Yoga, </w:t>
      </w:r>
      <w:r w:rsidR="006D156F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Working Out</w:t>
      </w:r>
      <w:r w:rsidR="007F52C4" w:rsidRPr="003275A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, Writing</w:t>
      </w:r>
    </w:p>
    <w:p w14:paraId="53F7C97E" w14:textId="77777777" w:rsidR="003275A4" w:rsidRPr="003275A4" w:rsidRDefault="007F52C4" w:rsidP="003275A4">
      <w:pPr>
        <w:pStyle w:val="Heading2"/>
        <w:spacing w:after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3275A4">
        <w:rPr>
          <w:rFonts w:ascii="Times New Roman" w:hAnsi="Times New Roman" w:cs="Times New Roman"/>
          <w:caps w:val="0"/>
          <w:color w:val="auto"/>
          <w:sz w:val="24"/>
          <w:szCs w:val="24"/>
        </w:rPr>
        <w:t>Education</w:t>
      </w:r>
    </w:p>
    <w:p w14:paraId="089A2952" w14:textId="4761BBD2" w:rsidR="007F52C4" w:rsidRPr="003275A4" w:rsidRDefault="007F52C4" w:rsidP="003275A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275A4">
        <w:rPr>
          <w:color w:val="auto"/>
          <w:sz w:val="24"/>
          <w:szCs w:val="24"/>
        </w:rPr>
        <w:t>Associates in A</w:t>
      </w:r>
      <w:r w:rsidR="003275A4" w:rsidRPr="003275A4">
        <w:rPr>
          <w:color w:val="auto"/>
          <w:sz w:val="24"/>
          <w:szCs w:val="24"/>
        </w:rPr>
        <w:t>pplied Science A</w:t>
      </w:r>
      <w:r w:rsidRPr="003275A4">
        <w:rPr>
          <w:color w:val="auto"/>
          <w:sz w:val="24"/>
          <w:szCs w:val="24"/>
        </w:rPr>
        <w:t xml:space="preserve">vionics </w:t>
      </w:r>
      <w:r w:rsidR="003275A4" w:rsidRPr="003275A4">
        <w:rPr>
          <w:color w:val="auto"/>
          <w:sz w:val="24"/>
          <w:szCs w:val="24"/>
        </w:rPr>
        <w:t xml:space="preserve">Systems </w:t>
      </w:r>
      <w:r w:rsidRPr="003275A4">
        <w:rPr>
          <w:color w:val="auto"/>
          <w:sz w:val="24"/>
          <w:szCs w:val="24"/>
        </w:rPr>
        <w:t>Technologies</w:t>
      </w:r>
      <w:r w:rsidR="00396375">
        <w:rPr>
          <w:color w:val="auto"/>
          <w:sz w:val="24"/>
          <w:szCs w:val="24"/>
        </w:rPr>
        <w:t xml:space="preserve">, </w:t>
      </w:r>
      <w:r w:rsidR="003275A4" w:rsidRPr="00396375">
        <w:rPr>
          <w:i/>
          <w:iCs/>
          <w:color w:val="auto"/>
          <w:sz w:val="24"/>
          <w:szCs w:val="24"/>
          <w:u w:val="single"/>
        </w:rPr>
        <w:t>January 2020</w:t>
      </w:r>
      <w:r w:rsidR="003275A4" w:rsidRPr="003275A4">
        <w:rPr>
          <w:color w:val="auto"/>
          <w:sz w:val="24"/>
          <w:szCs w:val="24"/>
        </w:rPr>
        <w:t>, Community College of the Air Force</w:t>
      </w:r>
    </w:p>
    <w:sectPr w:rsidR="007F52C4" w:rsidRPr="003275A4" w:rsidSect="00374627">
      <w:footerReference w:type="default" r:id="rId10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AFE4" w14:textId="77777777" w:rsidR="0077189F" w:rsidRDefault="0077189F">
      <w:pPr>
        <w:spacing w:after="0"/>
      </w:pPr>
      <w:r>
        <w:separator/>
      </w:r>
    </w:p>
  </w:endnote>
  <w:endnote w:type="continuationSeparator" w:id="0">
    <w:p w14:paraId="5CBB83ED" w14:textId="77777777" w:rsidR="0077189F" w:rsidRDefault="00771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DF6F5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C75A7" w14:textId="77777777" w:rsidR="0077189F" w:rsidRDefault="0077189F">
      <w:pPr>
        <w:spacing w:after="0"/>
      </w:pPr>
      <w:r>
        <w:separator/>
      </w:r>
    </w:p>
  </w:footnote>
  <w:footnote w:type="continuationSeparator" w:id="0">
    <w:p w14:paraId="364D8BF8" w14:textId="77777777" w:rsidR="0077189F" w:rsidRDefault="007718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F096E1E"/>
    <w:multiLevelType w:val="hybridMultilevel"/>
    <w:tmpl w:val="FAAA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20928"/>
    <w:multiLevelType w:val="hybridMultilevel"/>
    <w:tmpl w:val="CFFE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75"/>
    <w:rsid w:val="0012662D"/>
    <w:rsid w:val="003275A4"/>
    <w:rsid w:val="00374627"/>
    <w:rsid w:val="00394A6D"/>
    <w:rsid w:val="00396375"/>
    <w:rsid w:val="003F19B9"/>
    <w:rsid w:val="004476A1"/>
    <w:rsid w:val="005114E7"/>
    <w:rsid w:val="005E376D"/>
    <w:rsid w:val="005E5E55"/>
    <w:rsid w:val="00616068"/>
    <w:rsid w:val="00665315"/>
    <w:rsid w:val="006D156F"/>
    <w:rsid w:val="006E401C"/>
    <w:rsid w:val="007241CF"/>
    <w:rsid w:val="0077189F"/>
    <w:rsid w:val="00771F6A"/>
    <w:rsid w:val="0077621B"/>
    <w:rsid w:val="007963CE"/>
    <w:rsid w:val="007D00B3"/>
    <w:rsid w:val="007F52C4"/>
    <w:rsid w:val="00832DCD"/>
    <w:rsid w:val="008916B6"/>
    <w:rsid w:val="008E10EB"/>
    <w:rsid w:val="008E3043"/>
    <w:rsid w:val="008F57B6"/>
    <w:rsid w:val="009763C8"/>
    <w:rsid w:val="00980B0B"/>
    <w:rsid w:val="00A8131A"/>
    <w:rsid w:val="00B31175"/>
    <w:rsid w:val="00B769EE"/>
    <w:rsid w:val="00B97E62"/>
    <w:rsid w:val="00BF6550"/>
    <w:rsid w:val="00C57E43"/>
    <w:rsid w:val="00C72B59"/>
    <w:rsid w:val="00CC75DB"/>
    <w:rsid w:val="00D33143"/>
    <w:rsid w:val="00D56207"/>
    <w:rsid w:val="00D765AF"/>
    <w:rsid w:val="00DD4208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219F8"/>
  <w15:chartTrackingRefBased/>
  <w15:docId w15:val="{71FCE3C9-1845-4C78-B1CB-63AF6B92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theyoungagenc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anessa.ozann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\AppData\Roaming\Microsoft\Templates\Functional%20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ozanne</dc:creator>
  <cp:keywords/>
  <dc:description>Vanessa Ozanne</dc:description>
  <cp:lastModifiedBy>The Young Agency</cp:lastModifiedBy>
  <cp:revision>2</cp:revision>
  <dcterms:created xsi:type="dcterms:W3CDTF">2022-06-06T23:21:00Z</dcterms:created>
  <dcterms:modified xsi:type="dcterms:W3CDTF">2022-06-06T23:21:00Z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